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DC71" w14:textId="2BDBDCE4" w:rsidR="00D1314A" w:rsidRDefault="00D1314A" w:rsidP="00705BC2">
      <w:pPr>
        <w:jc w:val="both"/>
        <w:rPr>
          <w:b/>
          <w:bCs/>
        </w:rPr>
      </w:pPr>
      <w:r w:rsidRPr="00EF3ABB">
        <w:rPr>
          <w:b/>
          <w:bCs/>
        </w:rPr>
        <w:t>KESKKONNAMÕJU STRATEEGILINE HINDAMINE</w:t>
      </w:r>
      <w:r>
        <w:rPr>
          <w:b/>
          <w:bCs/>
        </w:rPr>
        <w:t xml:space="preserve"> </w:t>
      </w:r>
      <w:r w:rsidRPr="00120F76">
        <w:rPr>
          <w:b/>
          <w:bCs/>
        </w:rPr>
        <w:t>TUULEPAR</w:t>
      </w:r>
      <w:r w:rsidR="004B4833" w:rsidRPr="00120F76">
        <w:rPr>
          <w:b/>
          <w:bCs/>
        </w:rPr>
        <w:t>G</w:t>
      </w:r>
      <w:r w:rsidRPr="00120F76">
        <w:rPr>
          <w:b/>
          <w:bCs/>
        </w:rPr>
        <w:t xml:space="preserve">I ERIPLANEERINGUS </w:t>
      </w:r>
      <w:r w:rsidRPr="00EF3ABB">
        <w:rPr>
          <w:b/>
          <w:bCs/>
        </w:rPr>
        <w:t xml:space="preserve">– </w:t>
      </w:r>
      <w:r w:rsidRPr="00D1314A">
        <w:rPr>
          <w:b/>
          <w:bCs/>
        </w:rPr>
        <w:t>MIDA, MIKS JA KUIDAS HINNATAKSE?</w:t>
      </w:r>
    </w:p>
    <w:p w14:paraId="6D873D9A" w14:textId="6C2236FE" w:rsidR="00705BC2" w:rsidRPr="00D17CD3" w:rsidRDefault="00705BC2" w:rsidP="00705BC2">
      <w:pPr>
        <w:jc w:val="both"/>
      </w:pPr>
      <w:r w:rsidRPr="00D17CD3">
        <w:t>Tuulepar</w:t>
      </w:r>
      <w:r w:rsidR="00B02292" w:rsidRPr="00D17CD3">
        <w:t>gi</w:t>
      </w:r>
      <w:r w:rsidRPr="00D17CD3">
        <w:t xml:space="preserve"> kavandamisel tuleb enne otsus</w:t>
      </w:r>
      <w:r w:rsidR="00D17CD3" w:rsidRPr="00D17CD3">
        <w:t>te tegemist välja selgitada</w:t>
      </w:r>
      <w:r w:rsidRPr="00D17CD3">
        <w:t xml:space="preserve">, </w:t>
      </w:r>
      <w:r w:rsidR="00D17CD3" w:rsidRPr="00D17CD3">
        <w:t xml:space="preserve">millised alad on sobilikud, </w:t>
      </w:r>
      <w:r w:rsidRPr="00D17CD3">
        <w:t xml:space="preserve">millistel tingimustel saab tuulikuid kavandada ning millised mõjud võivad </w:t>
      </w:r>
      <w:r w:rsidR="00D17CD3" w:rsidRPr="00D17CD3">
        <w:t xml:space="preserve">tuulepargi rajamise ja </w:t>
      </w:r>
      <w:proofErr w:type="spellStart"/>
      <w:r w:rsidRPr="00D17CD3">
        <w:t>ja</w:t>
      </w:r>
      <w:proofErr w:type="spellEnd"/>
      <w:r w:rsidRPr="00D17CD3">
        <w:t xml:space="preserve"> kasutamisega kaasneda. </w:t>
      </w:r>
      <w:r w:rsidR="00D17CD3" w:rsidRPr="00D17CD3">
        <w:t xml:space="preserve">Märjamaa valla tuuleparkide </w:t>
      </w:r>
      <w:r w:rsidRPr="00D17CD3">
        <w:t>eriplaneeringu oluline osa on seetõttu keskkonnamõju strateegiline hindamine.</w:t>
      </w:r>
    </w:p>
    <w:p w14:paraId="3A01E5E3" w14:textId="77777777" w:rsidR="00D17CD3" w:rsidRPr="00D17CD3" w:rsidRDefault="009E6102" w:rsidP="00705BC2">
      <w:pPr>
        <w:jc w:val="both"/>
      </w:pPr>
      <w:r w:rsidRPr="00D17CD3">
        <w:t xml:space="preserve">Märjamaa valla </w:t>
      </w:r>
      <w:r w:rsidR="00705BC2" w:rsidRPr="00D17CD3">
        <w:t xml:space="preserve">tuuleparkide </w:t>
      </w:r>
      <w:r w:rsidRPr="00D17CD3">
        <w:t>eriplaneering</w:t>
      </w:r>
      <w:r w:rsidR="00705BC2" w:rsidRPr="00D17CD3">
        <w:t xml:space="preserve"> on </w:t>
      </w:r>
      <w:r w:rsidRPr="00D17CD3">
        <w:t>strateegili</w:t>
      </w:r>
      <w:r w:rsidR="00705BC2" w:rsidRPr="00D17CD3">
        <w:t>n</w:t>
      </w:r>
      <w:r w:rsidRPr="00D17CD3">
        <w:t>e planeerimisdokumen</w:t>
      </w:r>
      <w:r w:rsidR="00705BC2" w:rsidRPr="00D17CD3">
        <w:t>t ning selle koostamisega toimub paralleelselt keskkonnamõju strateegiline hindamine</w:t>
      </w:r>
      <w:r w:rsidR="003D51B6" w:rsidRPr="00D17CD3">
        <w:t xml:space="preserve"> (KSH). K</w:t>
      </w:r>
      <w:r w:rsidR="00D17CD3" w:rsidRPr="00D17CD3">
        <w:t xml:space="preserve">SH </w:t>
      </w:r>
      <w:r w:rsidR="006F4C86" w:rsidRPr="00D17CD3">
        <w:t xml:space="preserve">eesmärk </w:t>
      </w:r>
      <w:r w:rsidR="00B02292" w:rsidRPr="00D17CD3">
        <w:t xml:space="preserve">on </w:t>
      </w:r>
      <w:r w:rsidR="006F4C86" w:rsidRPr="00D17CD3">
        <w:t xml:space="preserve">arvestada </w:t>
      </w:r>
      <w:r w:rsidR="00705BC2" w:rsidRPr="00D17CD3">
        <w:t xml:space="preserve">planeeringu koostamisel </w:t>
      </w:r>
      <w:r w:rsidR="006F4C86" w:rsidRPr="00D17CD3">
        <w:t>keskkonnakaalutlusi</w:t>
      </w:r>
      <w:r w:rsidR="00705BC2" w:rsidRPr="00D17CD3">
        <w:t xml:space="preserve">, </w:t>
      </w:r>
      <w:r w:rsidR="006F4C86" w:rsidRPr="00D17CD3">
        <w:t xml:space="preserve"> </w:t>
      </w:r>
      <w:r w:rsidR="00705BC2" w:rsidRPr="00D17CD3">
        <w:t xml:space="preserve">selgitada välja planeeringu elluviimisega eeldatavalt kaasnevad olulised </w:t>
      </w:r>
      <w:r w:rsidR="00D17CD3" w:rsidRPr="00D17CD3">
        <w:t>keskkonnamõjud, võrrelda alternatiivseid võimalusi ning leida võimalusi ebasoodsa mõju vältimiseks või vähendamiseks</w:t>
      </w:r>
      <w:r w:rsidR="00705BC2" w:rsidRPr="00D17CD3">
        <w:t xml:space="preserve">.  </w:t>
      </w:r>
      <w:r w:rsidR="00D17CD3" w:rsidRPr="00D17CD3">
        <w:t xml:space="preserve">Hindamise tulemusi kasutatakse planeeringulahenduse kujundamisel ja otsuste tegemisel. </w:t>
      </w:r>
    </w:p>
    <w:p w14:paraId="1353C8DC" w14:textId="3D8DE260" w:rsidR="006100DA" w:rsidRDefault="006100DA" w:rsidP="00705BC2">
      <w:pPr>
        <w:jc w:val="both"/>
      </w:pPr>
      <w:r w:rsidRPr="003D51B6">
        <w:t xml:space="preserve">KSH ülesanne on eelkõige </w:t>
      </w:r>
      <w:r>
        <w:t>välja selgitada</w:t>
      </w:r>
      <w:r w:rsidRPr="003D51B6">
        <w:t>, millised olulised mõjud võivad planeeringu elluviimisega kaasneda, kus need võivad avalduda ning kas ja kuidas on võimalik ebasoodsat mõju vältida või vähendada</w:t>
      </w:r>
      <w:r w:rsidR="00932FA8">
        <w:t>.</w:t>
      </w:r>
      <w:r w:rsidRPr="006100DA">
        <w:t xml:space="preserve"> KSH eesmärk ei ole tõendada, et tuuleparki saab kindlasti rajada, ega otsida põhjuseid selle välistamiseks. Hindamine peab olema erapooletu ning põhinema planeeringu koostamise ajal kättesaadaval parimal asjakohasel teadus- ja erialateadmisel.</w:t>
      </w:r>
      <w:r>
        <w:t xml:space="preserve"> </w:t>
      </w:r>
    </w:p>
    <w:p w14:paraId="362091FC" w14:textId="6435EAB8" w:rsidR="003D51B6" w:rsidRPr="00D17CD3" w:rsidRDefault="006100DA" w:rsidP="00705BC2">
      <w:pPr>
        <w:jc w:val="both"/>
      </w:pPr>
      <w:r w:rsidRPr="003D51B6">
        <w:t xml:space="preserve">KSH käigus </w:t>
      </w:r>
      <w:r>
        <w:t xml:space="preserve">hinnatakse </w:t>
      </w:r>
      <w:r w:rsidRPr="003D51B6">
        <w:t xml:space="preserve">ka mõistlikke alternatiive. </w:t>
      </w:r>
      <w:r w:rsidRPr="006100DA">
        <w:t xml:space="preserve">Asukoha eelvaliku etapis tähendab see võimalike asukohtade </w:t>
      </w:r>
      <w:r w:rsidR="00287DE1">
        <w:t>analüüsimist</w:t>
      </w:r>
      <w:r w:rsidRPr="006100DA">
        <w:t xml:space="preserve">, mitte üksnes hinnangut sellele, kas mõni ala on tuulepargi rajamiseks põhimõtteliselt sobiv. </w:t>
      </w:r>
      <w:r w:rsidR="00287DE1">
        <w:t>Analüüsi</w:t>
      </w:r>
      <w:r w:rsidRPr="006100DA">
        <w:t>tulemus peab andma volikogule põhjendatud ja kontrollitava teabe, millele otsuse tegemisel tugineda. Planeeringu kehtestamise otsuse teeb volikogu, arvestades KSH tulemuste kõrval ka õigusaktidest tulenevaid nõudeid, avalikke ja erahuve ning menetluse käigus esitatud seisukohti.</w:t>
      </w:r>
    </w:p>
    <w:p w14:paraId="427A223B" w14:textId="68844970" w:rsidR="003D51B6" w:rsidRPr="00B02292" w:rsidRDefault="00B02292" w:rsidP="00705BC2">
      <w:pPr>
        <w:jc w:val="both"/>
        <w:rPr>
          <w:b/>
          <w:bCs/>
        </w:rPr>
      </w:pPr>
      <w:r w:rsidRPr="00B02292">
        <w:rPr>
          <w:b/>
          <w:bCs/>
        </w:rPr>
        <w:t>Kes mõjusid hindab?</w:t>
      </w:r>
    </w:p>
    <w:p w14:paraId="195ADB6C" w14:textId="1FD949C8" w:rsidR="00E1008D" w:rsidRDefault="00287DE1" w:rsidP="00705BC2">
      <w:pPr>
        <w:jc w:val="both"/>
      </w:pPr>
      <w:r w:rsidRPr="00287DE1">
        <w:t>Keskkonnamõju hindamise viib läbi litsentseeritud juhtekspert või tema juhtimisel ekspertrühm</w:t>
      </w:r>
      <w:r>
        <w:t>.</w:t>
      </w:r>
      <w:r w:rsidR="008A4BAD">
        <w:t xml:space="preserve"> </w:t>
      </w:r>
      <w:r w:rsidR="00B02292" w:rsidRPr="00B02292">
        <w:t xml:space="preserve">Tuulepargi </w:t>
      </w:r>
      <w:r w:rsidR="006100DA">
        <w:t>eri</w:t>
      </w:r>
      <w:r w:rsidR="00B02292" w:rsidRPr="00B02292">
        <w:t>planeeringu</w:t>
      </w:r>
      <w:r w:rsidR="006100DA">
        <w:t xml:space="preserve"> puhul </w:t>
      </w:r>
      <w:r w:rsidR="00B02292" w:rsidRPr="00B02292">
        <w:t>võivad eksperdirühma kuuluda näiteks linnustiku, nahkhiirte, taimestiku, müra, maastiku, kultuuripärandi, pinna- ja põhjavee ning teiste valdkondade eksperdid.</w:t>
      </w:r>
      <w:r w:rsidR="00B02292">
        <w:t xml:space="preserve"> </w:t>
      </w:r>
      <w:r w:rsidR="006100DA" w:rsidRPr="006100DA">
        <w:t>Vajalikud uuringud ja nende ulatus sõltuvad konkreetsest planeeringualast ning sellest, milliseid võimalikke mõjusid tuleb hinnata</w:t>
      </w:r>
      <w:r w:rsidR="00B02292" w:rsidRPr="00B02292">
        <w:t>.</w:t>
      </w:r>
      <w:r w:rsidR="00B02292">
        <w:t xml:space="preserve"> </w:t>
      </w:r>
    </w:p>
    <w:p w14:paraId="186C9F3A" w14:textId="6AA64143" w:rsidR="00B02292" w:rsidRDefault="00B02292" w:rsidP="00705BC2">
      <w:pPr>
        <w:jc w:val="both"/>
        <w:rPr>
          <w:b/>
          <w:bCs/>
        </w:rPr>
      </w:pPr>
      <w:r w:rsidRPr="00D1314A">
        <w:rPr>
          <w:b/>
          <w:bCs/>
        </w:rPr>
        <w:t>Asukoha eelvalik ja edasine planeerimine</w:t>
      </w:r>
    </w:p>
    <w:p w14:paraId="57B52B5D" w14:textId="2912F6D5" w:rsidR="00CA4967" w:rsidRDefault="00D1314A" w:rsidP="00705BC2">
      <w:pPr>
        <w:jc w:val="both"/>
      </w:pPr>
      <w:r w:rsidRPr="00D1314A">
        <w:t>Märjamaa valla tuuleparkide eriplaneeringu</w:t>
      </w:r>
      <w:r>
        <w:t>t menetletakse kahe</w:t>
      </w:r>
      <w:r w:rsidR="008A4BAD">
        <w:t>-</w:t>
      </w:r>
      <w:proofErr w:type="spellStart"/>
      <w:r>
        <w:t>etapiliselt</w:t>
      </w:r>
      <w:proofErr w:type="spellEnd"/>
      <w:r w:rsidR="00C5392A">
        <w:t xml:space="preserve"> – esimene etapp eelvaliku alade välja selgitamine ning teine etapp detailiste lahenduste väljatöötamine. </w:t>
      </w:r>
      <w:r w:rsidR="006100DA">
        <w:t>A</w:t>
      </w:r>
      <w:r w:rsidR="006100DA" w:rsidRPr="006100DA">
        <w:t>sukoha eelvaliku ülesanne on selgitada välja kavandatava tuulepargi jaoks sobivaimad alad</w:t>
      </w:r>
      <w:r w:rsidRPr="00D1314A">
        <w:t xml:space="preserve">. </w:t>
      </w:r>
      <w:r w:rsidR="00B466BC" w:rsidRPr="00B466BC">
        <w:t xml:space="preserve">Selleks </w:t>
      </w:r>
      <w:r w:rsidR="00B33264" w:rsidRPr="00FC1D62">
        <w:t>analüüsitakse</w:t>
      </w:r>
      <w:r w:rsidR="00B466BC" w:rsidRPr="00B466BC">
        <w:t xml:space="preserve"> erinevaid võimalikke asukohti ning hinnatakse nendega kaasnevaid mõjusid</w:t>
      </w:r>
      <w:r w:rsidRPr="00D1314A">
        <w:t>.</w:t>
      </w:r>
      <w:r>
        <w:t xml:space="preserve"> </w:t>
      </w:r>
      <w:r w:rsidR="00120F76">
        <w:t>Asukoha eelvaliku etapis a</w:t>
      </w:r>
      <w:r w:rsidR="00B466BC" w:rsidRPr="00B466BC">
        <w:t>la sobivaks tunnistamine ei tähenda veel ehitusõiguse tekkimist ega seda, et sinna kindlasti tuulikud rajatakse</w:t>
      </w:r>
      <w:r w:rsidR="00B466BC">
        <w:t xml:space="preserve">. </w:t>
      </w:r>
      <w:r w:rsidRPr="00D1314A">
        <w:t xml:space="preserve"> </w:t>
      </w:r>
      <w:r w:rsidR="00B466BC" w:rsidRPr="00B466BC">
        <w:t>Menetluse käigus võivad selguda asjaolud, mis välistavad mõne ala kasutamise, piiravad tuulikute arvu või kõrgust või tingivad täiendavate uuringute ja leevendusmeetmete vajaduse.</w:t>
      </w:r>
      <w:r w:rsidR="00C5392A">
        <w:t xml:space="preserve"> </w:t>
      </w:r>
    </w:p>
    <w:p w14:paraId="2B7BBC1B" w14:textId="77777777" w:rsidR="00120F76" w:rsidRDefault="00120F76" w:rsidP="00705BC2">
      <w:pPr>
        <w:jc w:val="both"/>
      </w:pPr>
      <w:r w:rsidRPr="00120F76">
        <w:t>Asukoha eelvaliku etapi lõpus otsustab vallavolikogu asukoha eelvaliku ja KSH esimese etapi aruande vastuvõtmise</w:t>
      </w:r>
      <w:r>
        <w:t xml:space="preserve"> </w:t>
      </w:r>
      <w:r w:rsidR="00E1008D">
        <w:t xml:space="preserve">või sellest keeldumise. </w:t>
      </w:r>
      <w:r w:rsidRPr="00120F76">
        <w:t>Otsuse tegemisel hinnatakse, kas valitud asukoht või asukohad on eriplaneeringuga kavandatava tuulepargi rajamiseks sobivad ning kas asukoha eelvaliku ja KSH käigus kogutud teave on edasiseks planeerimiseks piisav</w:t>
      </w:r>
      <w:r w:rsidR="00C5392A">
        <w:t xml:space="preserve">. </w:t>
      </w:r>
      <w:r w:rsidRPr="00120F76">
        <w:t>Kui asukoha eelvalikut ei võeta vastu, ei minda vastava lahendusega edasi.</w:t>
      </w:r>
      <w:r>
        <w:t xml:space="preserve"> </w:t>
      </w:r>
    </w:p>
    <w:p w14:paraId="3D709A0E" w14:textId="77777777" w:rsidR="00120F76" w:rsidRDefault="00120F76" w:rsidP="00705BC2">
      <w:pPr>
        <w:jc w:val="both"/>
      </w:pPr>
      <w:r w:rsidRPr="00120F76">
        <w:lastRenderedPageBreak/>
        <w:t>Kui eelvalik kinnitatakse ja menetlust jätkatakse detailse lahendusega, täpsustatakse järgmises etapis tuulikute ja neid teenindava taristu paiknemist ning muid planeeringulahenduse tingimusi.</w:t>
      </w:r>
      <w:r>
        <w:t xml:space="preserve">  </w:t>
      </w:r>
      <w:r w:rsidRPr="00120F76">
        <w:t>Detailse lahenduse etapis muutub kavandatav lahendus täpsemaks ning sellest tulenevalt saab täpsustada ka mõjude hindamist. Konkreetsemalt saab hinnata näiteks tuulikute paiknemisest, kõrgusest ja arvust tulenevat mõju, samuti juurdepääsuteede, elektriühenduste ja muu vajaliku taristu mõju. Detailse lahenduse koostamisel lähtutakse selleks ajaks olemas olevast parimast asjakohasest teadus- ja erialateadmisest ning vajaduse korral tehakse täiendavaid uuringuid ja määratakse ebasoodsa mõju vältimiseks või vähendamiseks vajalikud meetmed.</w:t>
      </w:r>
    </w:p>
    <w:p w14:paraId="1ECE6B98" w14:textId="5865335F" w:rsidR="009E6102" w:rsidRPr="008A10DE" w:rsidRDefault="00CA4967" w:rsidP="00705BC2">
      <w:pPr>
        <w:jc w:val="both"/>
        <w:rPr>
          <w:b/>
          <w:bCs/>
        </w:rPr>
      </w:pPr>
      <w:r>
        <w:rPr>
          <w:b/>
          <w:bCs/>
        </w:rPr>
        <w:t xml:space="preserve">Mida hinnatakse </w:t>
      </w:r>
      <w:r w:rsidRPr="00EF3ABB">
        <w:rPr>
          <w:b/>
          <w:bCs/>
        </w:rPr>
        <w:t>keskkonnamõju strateegiline hindami</w:t>
      </w:r>
      <w:r>
        <w:rPr>
          <w:b/>
          <w:bCs/>
        </w:rPr>
        <w:t>sega?</w:t>
      </w:r>
    </w:p>
    <w:p w14:paraId="6D1B9D66" w14:textId="2FD0D333" w:rsidR="00CA4967" w:rsidRDefault="00B466BC" w:rsidP="00705BC2">
      <w:pPr>
        <w:jc w:val="both"/>
      </w:pPr>
      <w:r w:rsidRPr="00B466BC">
        <w:t>Tuulepargi KSH hõlmab mitmeid mõjuvaldkondi ning nende olulisus sõltub konkreetsest asukohast, tuulikute arvust ja mõõtmetest, looduskeskkonnast, asustusest, olemasolevast taristust ning muudest kohalikest tingimustest. Kõiki võimalikke mõjusid ei hinnata igal alal ühesuguse põhjalikkusega</w:t>
      </w:r>
      <w:r>
        <w:t>. H</w:t>
      </w:r>
      <w:r w:rsidRPr="00B466BC">
        <w:t xml:space="preserve">indamise ulatus peab vastama konkreetsele planeeringule ja </w:t>
      </w:r>
      <w:r>
        <w:t>võimalikule</w:t>
      </w:r>
      <w:r w:rsidRPr="00B466BC">
        <w:t xml:space="preserve"> mõjule.</w:t>
      </w:r>
      <w:r>
        <w:t xml:space="preserve"> </w:t>
      </w:r>
    </w:p>
    <w:p w14:paraId="6EECB0AF" w14:textId="4C23DADD" w:rsidR="00CA4967" w:rsidRDefault="00CA4967" w:rsidP="00705BC2">
      <w:pPr>
        <w:jc w:val="both"/>
      </w:pPr>
      <w:r w:rsidRPr="00CA4967">
        <w:t xml:space="preserve">Kohalike elanike seisukohalt on üks </w:t>
      </w:r>
      <w:r w:rsidR="00B466BC" w:rsidRPr="00B466BC">
        <w:t xml:space="preserve">olulisemaid küsimusi </w:t>
      </w:r>
      <w:r w:rsidR="00B466BC" w:rsidRPr="00120F76">
        <w:t>mõju elukeskkonnale</w:t>
      </w:r>
      <w:r w:rsidRPr="00120F76">
        <w:t>. Selle</w:t>
      </w:r>
      <w:r w:rsidRPr="00CA4967">
        <w:t xml:space="preserve"> raames võivad hindamisel olla asjakohased eelkõige:</w:t>
      </w:r>
      <w:r>
        <w:t xml:space="preserve"> </w:t>
      </w:r>
      <w:r w:rsidRPr="00CA4967">
        <w:t>müra</w:t>
      </w:r>
      <w:r>
        <w:t xml:space="preserve">, </w:t>
      </w:r>
      <w:r w:rsidR="009E6102">
        <w:t>madalsageduslik heli/</w:t>
      </w:r>
      <w:proofErr w:type="spellStart"/>
      <w:r w:rsidR="009E6102">
        <w:t>infraheli</w:t>
      </w:r>
      <w:proofErr w:type="spellEnd"/>
      <w:r w:rsidR="009E6102">
        <w:t xml:space="preserve">, </w:t>
      </w:r>
      <w:r w:rsidR="008A10DE">
        <w:t xml:space="preserve">vibratsioon, </w:t>
      </w:r>
      <w:r w:rsidRPr="00CA4967">
        <w:t xml:space="preserve">tuulikute põhjustatud perioodiline </w:t>
      </w:r>
      <w:r w:rsidR="009E6102">
        <w:t>varjutamine</w:t>
      </w:r>
      <w:r w:rsidR="006F4C86">
        <w:t xml:space="preserve">, </w:t>
      </w:r>
      <w:r w:rsidRPr="00CA4967">
        <w:t>visuaalne mõju ja maastikupildi muutumine</w:t>
      </w:r>
      <w:r w:rsidR="003A0720">
        <w:t xml:space="preserve">. </w:t>
      </w:r>
      <w:r w:rsidRPr="00CA4967">
        <w:t xml:space="preserve">Nende mõjude käsitlemisel tuleb eristada õigusaktides sätestatud piir- ja sihtväärtusi, juhendmaterjalides kasutatavaid </w:t>
      </w:r>
      <w:proofErr w:type="spellStart"/>
      <w:r w:rsidRPr="00CA4967">
        <w:t>soovituslikke</w:t>
      </w:r>
      <w:proofErr w:type="spellEnd"/>
      <w:r w:rsidRPr="00CA4967">
        <w:t xml:space="preserve"> väärtusi ning inimese subjektiivselt tajutavat häiringut</w:t>
      </w:r>
      <w:r>
        <w:t xml:space="preserve">. </w:t>
      </w:r>
      <w:r w:rsidR="00B466BC" w:rsidRPr="00B466BC">
        <w:t>Näiteks võib tuuliku töötamine olla teatud tingimustes kuuldav ka siis, kui müra normtaset ei ületata</w:t>
      </w:r>
      <w:r w:rsidRPr="00CA4967">
        <w:t xml:space="preserve">. </w:t>
      </w:r>
      <w:r w:rsidR="00B466BC" w:rsidRPr="00B466BC">
        <w:t>Normtaseme täitmine tähendab vastavust kehtestatud mürakaitsenõuetele, kuid ei tähenda heli täielikku puudumist</w:t>
      </w:r>
      <w:r w:rsidRPr="00CA4967">
        <w:t>.</w:t>
      </w:r>
      <w:r>
        <w:t xml:space="preserve"> </w:t>
      </w:r>
      <w:r w:rsidRPr="00CA4967">
        <w:t>Samal ajal ei saa pelgalt inimese subjektiivse häirituse olemasolust järeldada, et planeeringut ei ole võimalik ellu viia. Hindamisel tuleb analüüsida mõju ulatust ja olulisust ning vajaduse korral määrata meetmed mõju vältimiseks või vähendamiseks.</w:t>
      </w:r>
    </w:p>
    <w:p w14:paraId="6D568F1D" w14:textId="207854D4" w:rsidR="00CA4967" w:rsidRPr="00120F76" w:rsidRDefault="00CD0AE3" w:rsidP="00705BC2">
      <w:pPr>
        <w:jc w:val="both"/>
      </w:pPr>
      <w:r w:rsidRPr="00CD0AE3">
        <w:rPr>
          <w:b/>
          <w:bCs/>
        </w:rPr>
        <w:t>Müra ja varjutamise prognoosimiseks</w:t>
      </w:r>
      <w:r w:rsidRPr="00CD0AE3">
        <w:t xml:space="preserve"> kasutatakse modelleerimist. Mudelisse sisestatakse tuulikute tehnilised andmed, nende võimalik paiknemine ning muud mõju levikut mõjutavad lähteandmed. Müra hindamisel kasutatakse üldjuhul ettevaatlikke ehk konservatiivseid eeldusi, et võimalikku mõju ei alahinnataks. Modelleerimine on siiski prognoos, mitte garantii tegelikus kasutuses igal ajahetkel esineva </w:t>
      </w:r>
      <w:r w:rsidRPr="00120F76">
        <w:t>olukorra kohta. Selle tulemus sõltub kasutatud lähteandmetest, arvutusmeetodist ja eeldustest. Vajaduse korral saab planeeringus või järgnevates menetlustes ette näha täiendavaid tingimusi, seiret või leevendusmeetmeid.</w:t>
      </w:r>
    </w:p>
    <w:p w14:paraId="11B6021B" w14:textId="240A741C" w:rsidR="00C57083" w:rsidRPr="00120F76" w:rsidRDefault="00CD0AE3" w:rsidP="00705BC2">
      <w:pPr>
        <w:jc w:val="both"/>
      </w:pPr>
      <w:r w:rsidRPr="00120F76">
        <w:t>Oluline osa KSH-st puudutab elustikku</w:t>
      </w:r>
      <w:r w:rsidR="00C57083" w:rsidRPr="00120F76">
        <w:t xml:space="preserve">, sealhulgas </w:t>
      </w:r>
      <w:r w:rsidRPr="00120F76">
        <w:t xml:space="preserve">hinnatakse võimalikku mõju </w:t>
      </w:r>
      <w:r w:rsidR="00C57083" w:rsidRPr="00120F76">
        <w:t>linnustikule, nahkhiirtele, teistele loomaliikidele, taimestikule ja väärtuslikele elupaikadele, samuti kaitstavatele loodusobjektidele, rohevõrgustikule ning ökoloogilistele ühendustele. Kusjuures mõju olulisus sõltub nii mõjutatava liigi või elupaiga looduskaitselisest väärtusest ja tundlikkusest kui ka kavandatava tegevuse asukohast, ulatusest ja iseloomust.</w:t>
      </w:r>
      <w:r w:rsidRPr="00120F76">
        <w:t xml:space="preserve"> Näiteks lindude ja nahkhiirte puhul võib olla vajalik hinnata kokkupõrkeriski, elupaikade muutumist ning liikumis- ja rändeteede võimalikku mõjutamist.</w:t>
      </w:r>
    </w:p>
    <w:p w14:paraId="0A13B62D" w14:textId="36501B95" w:rsidR="00C57083" w:rsidRPr="00120F76" w:rsidRDefault="00C57083" w:rsidP="00705BC2">
      <w:pPr>
        <w:jc w:val="both"/>
      </w:pPr>
      <w:r w:rsidRPr="00120F76">
        <w:t xml:space="preserve">Kui planeering võib mõjutada Natura 2000 võrgustiku ala, tuleb hinnata võimalikku mõju selle ala kaitse-eesmärkidele ja terviklikkusele. Natura hindamisel ei lähtuta üksnes sellest, kas tuulepark paikneb Natura 2000 alal, sest mõju võib </w:t>
      </w:r>
      <w:r w:rsidR="00CD0AE3" w:rsidRPr="00120F76">
        <w:t xml:space="preserve">teatud juhtudel </w:t>
      </w:r>
      <w:r w:rsidRPr="00120F76">
        <w:t>avalduda ka väljaspool ala kavandatava tegevuse kaudu. Natura 2000 võrgustiku eesmärk on aidata säilitada või taastada Euroopa Liidu loodus- ja linnudirektiivi alusel kaitstavate liikide ning elupaigatüüpide soodsat seisundit.</w:t>
      </w:r>
    </w:p>
    <w:p w14:paraId="0E0E757A" w14:textId="258FBE71" w:rsidR="008B6F7D" w:rsidRPr="00120F76" w:rsidRDefault="008B6F7D" w:rsidP="008B6F7D">
      <w:pPr>
        <w:jc w:val="both"/>
      </w:pPr>
      <w:r w:rsidRPr="00120F76">
        <w:t>Kultuuripärandi</w:t>
      </w:r>
      <w:r w:rsidR="00CD0AE3" w:rsidRPr="00120F76">
        <w:t xml:space="preserve"> </w:t>
      </w:r>
      <w:r w:rsidRPr="00120F76">
        <w:t xml:space="preserve">käsitlemisel </w:t>
      </w:r>
      <w:r w:rsidR="00CD0AE3" w:rsidRPr="00120F76">
        <w:t>arvestatakse</w:t>
      </w:r>
      <w:r w:rsidRPr="00120F76">
        <w:t xml:space="preserve"> nii riikliku kaitse all olevate mälestiste ja muinsuskaitsealade kui ka arheoloogilise pärandi ja muu väärtusliku kultuuripärandiga. Mõju </w:t>
      </w:r>
      <w:r w:rsidRPr="00120F76">
        <w:lastRenderedPageBreak/>
        <w:t>võib olla otsene, näiteks kui ehitustööd puudutavad arheoloogiatundlikku ala, või kaudne, näiteks juhul, kui tuulikud muudavad kultuuriväärtusliku objekti ajaloolist vaatepilti või maastikulist konteksti. Kõik pärandkultuuri objektid ei ole riikliku kaitse all, kuid see ei tähenda, et neil puuduks planeerimisel väärtus.</w:t>
      </w:r>
    </w:p>
    <w:p w14:paraId="3D3AD060" w14:textId="412EDCEC" w:rsidR="00CD0AE3" w:rsidRPr="00120F76" w:rsidRDefault="00CD0AE3" w:rsidP="008B6F7D">
      <w:pPr>
        <w:jc w:val="both"/>
      </w:pPr>
      <w:r w:rsidRPr="00120F76">
        <w:t>Tuulepargi mõju maastikule hinnates ei vaadelda üksnes seda, kas tuulikud on konkreetsest kohast nähtavad. Arvesse võetakse nende kaugust, maastiku avatust ja reljeefi, metsa ja muu taimestiku varjestavat mõju, asustuse paiknemist, väärtuslikke maastikke ja olulisi vaateid ning tuulikute arvu, kõrgust ja paiknemist. Vajaduse korral kasutatakse nähtavusanalüüse ja fotomontaaže. Need aitavad kavandatavat muutust kirjeldada ja visualiseerida, kuid visuaalse mõju puhul tuleb arvestada ka tajupõhist osa – inimesed võivad sama maastikumuutust hinnata erinevalt.</w:t>
      </w:r>
    </w:p>
    <w:p w14:paraId="4BDAB035" w14:textId="609D30C6" w:rsidR="008B6F7D" w:rsidRPr="00120F76" w:rsidRDefault="008B6F7D" w:rsidP="008B6F7D">
      <w:pPr>
        <w:jc w:val="both"/>
      </w:pPr>
      <w:r w:rsidRPr="00120F76">
        <w:t xml:space="preserve">Tuulepargi rajamisel ei kasutata maad ainult tuuliku vundamendi jaoks. Vajalikuks võivad osutuda juurdepääsuteed, montaažiplatsid, elektrikaablid, alajaamad ja muu taristu. Seetõttu hinnatakse vajaduse korral mõju olemasolevale maakasutusele, põllu- ja metsamaale, pinnasele ning maa kasutamise võimalustele. </w:t>
      </w:r>
      <w:r w:rsidR="00CD0AE3" w:rsidRPr="00120F76">
        <w:t xml:space="preserve">Väärtusliku põllumajandusmaa puhul tuleb kaaluda maa väärtust, kavandatava tegevuse ulatust,  arvestada selle kaitseks õigusaktides ja planeeringutes sätestatud tingimustega ning hinnata võimalusi ebasoodsa mõju vältimiseks või vähendamiseks. </w:t>
      </w:r>
      <w:r w:rsidRPr="00120F76">
        <w:t>Väärtusliku põllumajandusmaa puhul ei ole korrektne lähtuda üldisest põhimõttest, et selle kasutamine on igal juhul välistatud.</w:t>
      </w:r>
    </w:p>
    <w:p w14:paraId="037197D9" w14:textId="5BF98733" w:rsidR="008B6F7D" w:rsidRPr="00120F76" w:rsidRDefault="008B6F7D" w:rsidP="008B6F7D">
      <w:pPr>
        <w:jc w:val="both"/>
      </w:pPr>
      <w:r w:rsidRPr="00120F76">
        <w:t xml:space="preserve">Tuulepargi mõju põhja- ja pinnaveele võib olla seotud eelkõige ehitustegevusega. Arvesse võivad tulla näiteks vundamentide rajamine, teede ja kraavide ehitamine, kuivendussüsteemide muutmine, pinnase eemaldamine ja tihendamine, </w:t>
      </w:r>
      <w:r w:rsidR="00CD0AE3" w:rsidRPr="00120F76">
        <w:t xml:space="preserve">ehitusaegse sadevee käitlemine ning võimalik mõju märgaladele, veekogudele </w:t>
      </w:r>
      <w:proofErr w:type="spellStart"/>
      <w:r w:rsidR="00CD0AE3" w:rsidRPr="00120F76">
        <w:t>ninh</w:t>
      </w:r>
      <w:proofErr w:type="spellEnd"/>
      <w:r w:rsidR="00CD0AE3" w:rsidRPr="00120F76">
        <w:t xml:space="preserve"> põhjavee </w:t>
      </w:r>
      <w:r w:rsidRPr="00120F76">
        <w:t xml:space="preserve">kaitstus. </w:t>
      </w:r>
      <w:r w:rsidR="00CD0AE3" w:rsidRPr="00120F76">
        <w:t>Mõju ulatus sõltub konkreetse ala geoloogilistest ja hüdrogeoloogilistest tingimustest.</w:t>
      </w:r>
    </w:p>
    <w:p w14:paraId="4CE0EB2B" w14:textId="74A0ACCB" w:rsidR="00E07E52" w:rsidRPr="00120F76" w:rsidRDefault="00555F69" w:rsidP="00705BC2">
      <w:pPr>
        <w:jc w:val="both"/>
      </w:pPr>
      <w:r w:rsidRPr="00120F76">
        <w:t>Tuuleelektri tootmisel ei teki tuuliku käitamise ajal kütuse põletamisest otsest kasvuhoonegaaside heidet, kuid tuulepargi kogu elutsükliga kaasneb siiski heide. See on seotud muu hulgas tuulikute ja ehitusmaterjalide tootmise, transpordi, ehitamise, hoolduse ning hilisema lammutamise ja käitlusega.</w:t>
      </w:r>
      <w:r w:rsidR="00E07E52" w:rsidRPr="00120F76">
        <w:t xml:space="preserve"> </w:t>
      </w:r>
      <w:r w:rsidRPr="00120F76">
        <w:t>Tuuleelektri elutsükli kasvuhoonegaaside heide on üldjuhul fossiilkütustel põhineva elektritootmise omast väiksem, kuid see ei ole null. KSH käigus hinnatakse asjakohases ulatuses ka planeeringu mõju kasvuhoonegaaside heitele ning arvestatakse tuulepargi rajamisega kaasneva maakasutuse muutuse võimalikku kliimamõju.</w:t>
      </w:r>
    </w:p>
    <w:p w14:paraId="01CBEBBE" w14:textId="5650B151" w:rsidR="00E07E52" w:rsidRPr="00120F76" w:rsidRDefault="00555F69" w:rsidP="00705BC2">
      <w:pPr>
        <w:jc w:val="both"/>
      </w:pPr>
      <w:r w:rsidRPr="00120F76">
        <w:t xml:space="preserve">Tuulepark vajab toimimiseks ka elektri- ja transporditaristut. Toodetud elekter tuleb ühendada elektrivõrguga ning ehituse ajal tuleb tuulikute suured komponendid ehitusplatsile transportida. Seetõttu hinnatakse teede, sildade, ristmike ja muude rajatiste sobivust raskete ja </w:t>
      </w:r>
      <w:proofErr w:type="spellStart"/>
      <w:r w:rsidRPr="00120F76">
        <w:t>suuremõõtmeliste</w:t>
      </w:r>
      <w:proofErr w:type="spellEnd"/>
      <w:r w:rsidRPr="00120F76">
        <w:t xml:space="preserve"> veoste jaoks ning elektriühenduste, alajaamade ja liinide võimalikku mõju. Hindamise täpsus sõltub sellest, kui üksikasjalikult on vastavad lahendused planeeringu konkreetses etapis teada.</w:t>
      </w:r>
    </w:p>
    <w:p w14:paraId="6FBD154D" w14:textId="53AD6B42" w:rsidR="00555F69" w:rsidRPr="00120F76" w:rsidRDefault="00555F69" w:rsidP="00705BC2">
      <w:pPr>
        <w:jc w:val="both"/>
      </w:pPr>
      <w:r w:rsidRPr="00120F76">
        <w:t>KSH-s käsitletakse vajaduse korral ka ressursikasutust ja jäätmeid. Tuulikute rajamiseks kasutatakse muu hulgas betooni, terast ja teisi materjale ning jäätmeid tekib nii ehitamise, hooldamise kui ka tuulepargi kasutusaja lõpus. Tuuliku eri osade korduskasutamise ja ringlussevõtu võimalused on erinevad, mistõttu tuleb mõju hinnata konkreetsete materjalide, käitlusvõimaluste ning kehtivate nõuete põhjal.</w:t>
      </w:r>
    </w:p>
    <w:p w14:paraId="6E9C33C8" w14:textId="1A8BF21B" w:rsidR="004B4833" w:rsidRPr="00120F76" w:rsidRDefault="00555F69" w:rsidP="00705BC2">
      <w:pPr>
        <w:jc w:val="both"/>
      </w:pPr>
      <w:r w:rsidRPr="00120F76">
        <w:t xml:space="preserve">Samuti hinnatakse asjakohasel juhul õnnetus- ja avariiriske. Arvesse võivad tulla näiteks tulekahju, seadme või tuulikulaba rike, jää või tuulikuosade langemine, keskkonnaohtlike ainete lekked ning ehitusaegsed õnnetused. Riski hindamisel vaadeldakse nii sündmuse esinemise </w:t>
      </w:r>
      <w:r w:rsidRPr="00120F76">
        <w:lastRenderedPageBreak/>
        <w:t>tõenäosust kui ka võimalike tagajärgede raskust. Jäätumisega seotud riski puhul arvestatakse piirkonna ilmastikutingimusi, kasutatavat tehnoloogiat ja kavandatavaid ohutusmeetmeid.</w:t>
      </w:r>
    </w:p>
    <w:p w14:paraId="724D2B6F" w14:textId="04EED765" w:rsidR="004B4833" w:rsidRPr="00120F76" w:rsidRDefault="00555F69" w:rsidP="00705BC2">
      <w:pPr>
        <w:jc w:val="both"/>
      </w:pPr>
      <w:r w:rsidRPr="00120F76">
        <w:t>Tuulikute kavandamisel tuleb arvestada ka riigikaitse ja lennundusohutusega. Kõrged ehitised võivad mõjutada radarite tööd või olla vastuolus lennundusest tulenevate kõrgus- ja ohutuspiirangutega. Neid küsimusi hinnatakse koostöös pädevate asutustega ning vajaduse korral võivad piirangud mõjutada tuulikute asukohta, kõrgust või muid tehnilisi tingimusi.</w:t>
      </w:r>
      <w:r w:rsidR="004B4833" w:rsidRPr="00120F76">
        <w:t xml:space="preserve"> Tegemist ei ole üksnes tuuleparkidele omase küsimusega, vaid piirangutega, millega tuleb arvestada ka teiste kõrgete ehitiste kavandamisel.</w:t>
      </w:r>
    </w:p>
    <w:p w14:paraId="27467726" w14:textId="77777777" w:rsidR="00555F69" w:rsidRPr="00120F76" w:rsidRDefault="004B4833" w:rsidP="004B4833">
      <w:pPr>
        <w:jc w:val="both"/>
      </w:pPr>
      <w:r w:rsidRPr="00120F76">
        <w:t xml:space="preserve">Tuulepargi mõju ei saa vaadelda eraldi kõigest sellest, mis piirkonnas juba olemas on või mida sinna kavandatakse. Läheduses võivad paikneda või olla planeerimisel teised tuulepargid, elektriliinid, teed, karjäärid või muud mõjuallikad. Seetõttu hinnatakse vajaduse korral ka kumulatiivset ehk koosmõju, et välja selgitada, kas mitme tegevuse mõjud võivad koos kujuneda olulisemaks kui ühe tegevuse mõju eraldi. Koosmõju võib olla oluline näiteks linnustiku, maastiku, müra, liikluse või rohevõrgustiku puhul. </w:t>
      </w:r>
      <w:r w:rsidR="00555F69" w:rsidRPr="00120F76">
        <w:t xml:space="preserve">Hindamine peab siiski põhinema piisavalt konkreetsel ja usaldusväärsel teabel. </w:t>
      </w:r>
    </w:p>
    <w:p w14:paraId="0FE281BA" w14:textId="29E0A634" w:rsidR="004B4833" w:rsidRDefault="00555F69" w:rsidP="004B4833">
      <w:pPr>
        <w:jc w:val="both"/>
      </w:pPr>
      <w:r w:rsidRPr="00120F76">
        <w:t>KSH hinnangute täpsus sõltub sellest, kui üksikasjalikult on kavandatav lahendus hindamise ajal teada. Asukoha eelvaliku etapis on keskne küsimus, millised alad võivad tuulepargi kavandamiseks sobida ja millised asjaolud võivad mõne ala kasutamise välistada või seada sellele tingimusi. Planeeringulahenduse täpsustumisel saab täpsustada ka mõjude prognoose. Mida täpsemalt on teada tuulikute asukohad, kõrgused, tehnilised parameetrid, teed ja elektriühendused, seda täpsemalt saab hinnata nendega seotud mõju. See ei tähenda, et asukoha eelvaliku etapis tehtav hindamine oleks vähem oluline. Vastupidi – selle etapi ülesanne on anda piisav alus erinevate asukohtade</w:t>
      </w:r>
      <w:r w:rsidRPr="00555F69">
        <w:t xml:space="preserve"> võrdlemiseks, ebasobivate lahenduste välistamiseks ning edasise kavandamise tingimuste määramiseks.</w:t>
      </w:r>
      <w:r>
        <w:t xml:space="preserve"> </w:t>
      </w:r>
    </w:p>
    <w:p w14:paraId="560A11CE" w14:textId="77777777" w:rsidR="00555F69" w:rsidRPr="00555F69" w:rsidRDefault="00555F69" w:rsidP="00555F69">
      <w:pPr>
        <w:jc w:val="both"/>
      </w:pPr>
      <w:r w:rsidRPr="00555F69">
        <w:t xml:space="preserve">Sarnaste mõjude võimalikult ühetaoliseks hindamiseks kasutatakse </w:t>
      </w:r>
      <w:proofErr w:type="spellStart"/>
      <w:r w:rsidRPr="00555F69">
        <w:t>valdkondlikke</w:t>
      </w:r>
      <w:proofErr w:type="spellEnd"/>
      <w:r w:rsidRPr="00555F69">
        <w:t xml:space="preserve"> juhendmaterjale ja metoodikaid. Kliimaministeeriumi tellimusel valmis 2025. aastal tuuleparkide keskkonnamõju hindamise juhend, mis käsitleb müra, madalsageduslikku heli ja </w:t>
      </w:r>
      <w:proofErr w:type="spellStart"/>
      <w:r w:rsidRPr="00555F69">
        <w:t>infraheli</w:t>
      </w:r>
      <w:proofErr w:type="spellEnd"/>
      <w:r w:rsidRPr="00555F69">
        <w:t xml:space="preserve">, vibratsiooni ning varjutamist. Keskkonnaamet on koostanud ja 2026. aastal ajakohastanud tuuleparkide elustiku-uuringute metoodika ja </w:t>
      </w:r>
      <w:proofErr w:type="spellStart"/>
      <w:r w:rsidRPr="00555F69">
        <w:t>järelseire</w:t>
      </w:r>
      <w:proofErr w:type="spellEnd"/>
      <w:r w:rsidRPr="00555F69">
        <w:t xml:space="preserve"> miinimumnõuded. Metoodika ei määra ette, milline peab olema konkreetse tuulepargi mõju hinnang, vaid annab ühised põhimõtted, mille järgi uuringuid tehakse ja mõju hinnatakse. Konkreetne tulemus sõltub alati asukohast, kavandatavast lahendusest ja olemasolevast keskkonnast.</w:t>
      </w:r>
    </w:p>
    <w:p w14:paraId="5B59DD22" w14:textId="77777777" w:rsidR="00555F69" w:rsidRPr="00555F69" w:rsidRDefault="00555F69" w:rsidP="00555F69">
      <w:pPr>
        <w:jc w:val="both"/>
      </w:pPr>
      <w:r w:rsidRPr="00555F69">
        <w:t>Kohaliku elaniku jaoks peaks KSH aruanne aitama mõista, milliseid mõjusid on hinnatud, milliseid uuringuid ja andmeid on kasutatud, milliseid võimalikke asukohti ja lahendusi on võrreldud ning millised olulised mõjud võivad planeeringu elluviimisega kaasneda. Samuti peab aruandest selguma, milliseid ebasoodsaid mõjusid on võimalik vältida või vähendada ning milliseid tingimusi tuleb edasisel kavandamisel arvestada.</w:t>
      </w:r>
    </w:p>
    <w:p w14:paraId="1A24B447" w14:textId="05B38500" w:rsidR="008B6F7D" w:rsidRDefault="008A10DE" w:rsidP="00705BC2">
      <w:pPr>
        <w:jc w:val="both"/>
      </w:pPr>
      <w:r>
        <w:t>M</w:t>
      </w:r>
      <w:r w:rsidRPr="008A10DE">
        <w:t>ärjamaa valla tuuleparkide eriplaneeringu asukoha eelvalik</w:t>
      </w:r>
      <w:r>
        <w:t xml:space="preserve">u eelnõu </w:t>
      </w:r>
      <w:r w:rsidR="00E1008D">
        <w:t xml:space="preserve">ja KSH aruanne </w:t>
      </w:r>
      <w:r>
        <w:t xml:space="preserve">on </w:t>
      </w:r>
      <w:r w:rsidR="00555F69" w:rsidRPr="00555F69">
        <w:t xml:space="preserve">kättesaadavad </w:t>
      </w:r>
      <w:r>
        <w:t>Märjamaa valla kodulehel</w:t>
      </w:r>
      <w:r w:rsidR="002F7A03">
        <w:t>.</w:t>
      </w:r>
    </w:p>
    <w:p w14:paraId="00830E96" w14:textId="77777777" w:rsidR="007E22C5" w:rsidRDefault="007E22C5" w:rsidP="00705BC2">
      <w:pPr>
        <w:jc w:val="both"/>
      </w:pPr>
    </w:p>
    <w:p w14:paraId="5D7059E8" w14:textId="77777777" w:rsidR="009E3173" w:rsidRDefault="009E3173" w:rsidP="00705BC2">
      <w:pPr>
        <w:jc w:val="both"/>
      </w:pPr>
    </w:p>
    <w:p w14:paraId="34DCBDC6" w14:textId="77777777" w:rsidR="000B6ECD" w:rsidRDefault="000B6ECD" w:rsidP="00705BC2">
      <w:pPr>
        <w:jc w:val="both"/>
      </w:pPr>
      <w:proofErr w:type="spellStart"/>
      <w:r w:rsidRPr="000B6ECD">
        <w:t>Powerhouse</w:t>
      </w:r>
      <w:proofErr w:type="spellEnd"/>
      <w:r w:rsidRPr="000B6ECD">
        <w:t xml:space="preserve"> OÜ</w:t>
      </w:r>
    </w:p>
    <w:p w14:paraId="766626F6" w14:textId="43EEA27F" w:rsidR="009E3173" w:rsidRDefault="009E3173" w:rsidP="00705BC2">
      <w:pPr>
        <w:jc w:val="both"/>
      </w:pPr>
      <w:r>
        <w:t>Märjamaa Vallavalitsus</w:t>
      </w:r>
    </w:p>
    <w:sectPr w:rsidR="009E3173" w:rsidSect="000B6ECD">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25620"/>
    <w:multiLevelType w:val="multilevel"/>
    <w:tmpl w:val="A2D8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D6B44"/>
    <w:multiLevelType w:val="multilevel"/>
    <w:tmpl w:val="C240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435503">
    <w:abstractNumId w:val="1"/>
  </w:num>
  <w:num w:numId="2" w16cid:durableId="168324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BB"/>
    <w:rsid w:val="000A2139"/>
    <w:rsid w:val="000B6ECD"/>
    <w:rsid w:val="00120F76"/>
    <w:rsid w:val="00126AC2"/>
    <w:rsid w:val="00152B96"/>
    <w:rsid w:val="00164907"/>
    <w:rsid w:val="00180E06"/>
    <w:rsid w:val="00196A2B"/>
    <w:rsid w:val="001C6079"/>
    <w:rsid w:val="00236262"/>
    <w:rsid w:val="00287DE1"/>
    <w:rsid w:val="002D6BD2"/>
    <w:rsid w:val="002F7A03"/>
    <w:rsid w:val="00363F45"/>
    <w:rsid w:val="003A0720"/>
    <w:rsid w:val="003A4462"/>
    <w:rsid w:val="003D51B6"/>
    <w:rsid w:val="004058AE"/>
    <w:rsid w:val="004B4833"/>
    <w:rsid w:val="004B602B"/>
    <w:rsid w:val="00550B17"/>
    <w:rsid w:val="00553511"/>
    <w:rsid w:val="00555F69"/>
    <w:rsid w:val="005C40EB"/>
    <w:rsid w:val="005E7925"/>
    <w:rsid w:val="006100DA"/>
    <w:rsid w:val="00626F3A"/>
    <w:rsid w:val="00633D92"/>
    <w:rsid w:val="006A3B7A"/>
    <w:rsid w:val="006F4C86"/>
    <w:rsid w:val="00705BC2"/>
    <w:rsid w:val="0074152A"/>
    <w:rsid w:val="007C54B5"/>
    <w:rsid w:val="007E22C5"/>
    <w:rsid w:val="00860E0D"/>
    <w:rsid w:val="008A10DE"/>
    <w:rsid w:val="008A4BAD"/>
    <w:rsid w:val="008B6F7D"/>
    <w:rsid w:val="008D37E8"/>
    <w:rsid w:val="00932FA8"/>
    <w:rsid w:val="0095096D"/>
    <w:rsid w:val="009D4E89"/>
    <w:rsid w:val="009E3173"/>
    <w:rsid w:val="009E6102"/>
    <w:rsid w:val="00A508C1"/>
    <w:rsid w:val="00A5590F"/>
    <w:rsid w:val="00A83939"/>
    <w:rsid w:val="00AD7DD1"/>
    <w:rsid w:val="00AF25FB"/>
    <w:rsid w:val="00B02292"/>
    <w:rsid w:val="00B30F4D"/>
    <w:rsid w:val="00B33264"/>
    <w:rsid w:val="00B466BC"/>
    <w:rsid w:val="00B8405A"/>
    <w:rsid w:val="00BD60DF"/>
    <w:rsid w:val="00BD78B4"/>
    <w:rsid w:val="00C409FD"/>
    <w:rsid w:val="00C5392A"/>
    <w:rsid w:val="00C57083"/>
    <w:rsid w:val="00CA4967"/>
    <w:rsid w:val="00CD0AE3"/>
    <w:rsid w:val="00D1314A"/>
    <w:rsid w:val="00D17CD3"/>
    <w:rsid w:val="00D51D2F"/>
    <w:rsid w:val="00D90DC5"/>
    <w:rsid w:val="00DE3DDA"/>
    <w:rsid w:val="00DF46F4"/>
    <w:rsid w:val="00E07E52"/>
    <w:rsid w:val="00E1008D"/>
    <w:rsid w:val="00E213F6"/>
    <w:rsid w:val="00E2168A"/>
    <w:rsid w:val="00E253E4"/>
    <w:rsid w:val="00E5589D"/>
    <w:rsid w:val="00E63CFE"/>
    <w:rsid w:val="00EC54CA"/>
    <w:rsid w:val="00EF3ABB"/>
    <w:rsid w:val="00FC1D62"/>
    <w:rsid w:val="00FC30F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C193"/>
  <w15:chartTrackingRefBased/>
  <w15:docId w15:val="{33BD1D72-67C4-4C43-AA56-CAA729E8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F3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F3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F3AB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F3AB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F3AB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F3AB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F3AB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F3AB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F3AB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F3AB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F3AB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F3AB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F3AB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F3AB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F3AB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F3AB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F3AB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F3AB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F3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F3AB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F3AB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F3AB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F3ABB"/>
    <w:pPr>
      <w:spacing w:before="160"/>
      <w:jc w:val="center"/>
    </w:pPr>
    <w:rPr>
      <w:i/>
      <w:iCs/>
      <w:color w:val="404040" w:themeColor="text1" w:themeTint="BF"/>
    </w:rPr>
  </w:style>
  <w:style w:type="character" w:customStyle="1" w:styleId="TsitaatMrk">
    <w:name w:val="Tsitaat Märk"/>
    <w:basedOn w:val="Liguvaikefont"/>
    <w:link w:val="Tsitaat"/>
    <w:uiPriority w:val="29"/>
    <w:rsid w:val="00EF3ABB"/>
    <w:rPr>
      <w:i/>
      <w:iCs/>
      <w:color w:val="404040" w:themeColor="text1" w:themeTint="BF"/>
    </w:rPr>
  </w:style>
  <w:style w:type="paragraph" w:styleId="Loendilik">
    <w:name w:val="List Paragraph"/>
    <w:basedOn w:val="Normaallaad"/>
    <w:uiPriority w:val="34"/>
    <w:qFormat/>
    <w:rsid w:val="00EF3ABB"/>
    <w:pPr>
      <w:ind w:left="720"/>
      <w:contextualSpacing/>
    </w:pPr>
  </w:style>
  <w:style w:type="character" w:styleId="Selgeltmrgatavrhutus">
    <w:name w:val="Intense Emphasis"/>
    <w:basedOn w:val="Liguvaikefont"/>
    <w:uiPriority w:val="21"/>
    <w:qFormat/>
    <w:rsid w:val="00EF3ABB"/>
    <w:rPr>
      <w:i/>
      <w:iCs/>
      <w:color w:val="0F4761" w:themeColor="accent1" w:themeShade="BF"/>
    </w:rPr>
  </w:style>
  <w:style w:type="paragraph" w:styleId="Selgeltmrgatavtsitaat">
    <w:name w:val="Intense Quote"/>
    <w:basedOn w:val="Normaallaad"/>
    <w:next w:val="Normaallaad"/>
    <w:link w:val="SelgeltmrgatavtsitaatMrk"/>
    <w:uiPriority w:val="30"/>
    <w:qFormat/>
    <w:rsid w:val="00EF3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F3ABB"/>
    <w:rPr>
      <w:i/>
      <w:iCs/>
      <w:color w:val="0F4761" w:themeColor="accent1" w:themeShade="BF"/>
    </w:rPr>
  </w:style>
  <w:style w:type="character" w:styleId="Selgeltmrgatavviide">
    <w:name w:val="Intense Reference"/>
    <w:basedOn w:val="Liguvaikefont"/>
    <w:uiPriority w:val="32"/>
    <w:qFormat/>
    <w:rsid w:val="00EF3ABB"/>
    <w:rPr>
      <w:b/>
      <w:bCs/>
      <w:smallCaps/>
      <w:color w:val="0F4761" w:themeColor="accent1" w:themeShade="BF"/>
      <w:spacing w:val="5"/>
    </w:rPr>
  </w:style>
  <w:style w:type="paragraph" w:styleId="Redaktsioon">
    <w:name w:val="Revision"/>
    <w:hidden/>
    <w:uiPriority w:val="99"/>
    <w:semiHidden/>
    <w:rsid w:val="00E5589D"/>
    <w:pPr>
      <w:spacing w:after="0" w:line="240" w:lineRule="auto"/>
    </w:pPr>
  </w:style>
  <w:style w:type="character" w:styleId="Kommentaariviide">
    <w:name w:val="annotation reference"/>
    <w:basedOn w:val="Liguvaikefont"/>
    <w:uiPriority w:val="99"/>
    <w:semiHidden/>
    <w:unhideWhenUsed/>
    <w:rsid w:val="00BD78B4"/>
    <w:rPr>
      <w:sz w:val="16"/>
      <w:szCs w:val="16"/>
    </w:rPr>
  </w:style>
  <w:style w:type="paragraph" w:styleId="Kommentaaritekst">
    <w:name w:val="annotation text"/>
    <w:basedOn w:val="Normaallaad"/>
    <w:link w:val="KommentaaritekstMrk"/>
    <w:uiPriority w:val="99"/>
    <w:unhideWhenUsed/>
    <w:rsid w:val="00BD78B4"/>
    <w:pPr>
      <w:spacing w:line="240" w:lineRule="auto"/>
    </w:pPr>
    <w:rPr>
      <w:sz w:val="20"/>
      <w:szCs w:val="20"/>
    </w:rPr>
  </w:style>
  <w:style w:type="character" w:customStyle="1" w:styleId="KommentaaritekstMrk">
    <w:name w:val="Kommentaari tekst Märk"/>
    <w:basedOn w:val="Liguvaikefont"/>
    <w:link w:val="Kommentaaritekst"/>
    <w:uiPriority w:val="99"/>
    <w:rsid w:val="00BD78B4"/>
    <w:rPr>
      <w:sz w:val="20"/>
      <w:szCs w:val="20"/>
    </w:rPr>
  </w:style>
  <w:style w:type="paragraph" w:styleId="Kommentaariteema">
    <w:name w:val="annotation subject"/>
    <w:basedOn w:val="Kommentaaritekst"/>
    <w:next w:val="Kommentaaritekst"/>
    <w:link w:val="KommentaariteemaMrk"/>
    <w:uiPriority w:val="99"/>
    <w:semiHidden/>
    <w:unhideWhenUsed/>
    <w:rsid w:val="00BD78B4"/>
    <w:rPr>
      <w:b/>
      <w:bCs/>
    </w:rPr>
  </w:style>
  <w:style w:type="character" w:customStyle="1" w:styleId="KommentaariteemaMrk">
    <w:name w:val="Kommentaari teema Märk"/>
    <w:basedOn w:val="KommentaaritekstMrk"/>
    <w:link w:val="Kommentaariteema"/>
    <w:uiPriority w:val="99"/>
    <w:semiHidden/>
    <w:rsid w:val="00BD78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F7375078D8C42A1A0CD3E9165050B" ma:contentTypeVersion="16" ma:contentTypeDescription="Create a new document." ma:contentTypeScope="" ma:versionID="76a92d088d8ee002af2d8a90f6ea1802">
  <xsd:schema xmlns:xsd="http://www.w3.org/2001/XMLSchema" xmlns:xs="http://www.w3.org/2001/XMLSchema" xmlns:p="http://schemas.microsoft.com/office/2006/metadata/properties" xmlns:ns3="4445c059-4cd0-473d-9231-f62d903aa1b4" xmlns:ns4="b72b128a-512f-4953-89ec-c94a8951fcef" targetNamespace="http://schemas.microsoft.com/office/2006/metadata/properties" ma:root="true" ma:fieldsID="9ab01af96abbc2bb9cb6fc4f9a25a3e8" ns3:_="" ns4:_="">
    <xsd:import namespace="4445c059-4cd0-473d-9231-f62d903aa1b4"/>
    <xsd:import namespace="b72b128a-512f-4953-89ec-c94a8951fc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5c059-4cd0-473d-9231-f62d903aa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b128a-512f-4953-89ec-c94a8951fc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45c059-4cd0-473d-9231-f62d903aa1b4" xsi:nil="true"/>
  </documentManagement>
</p:properties>
</file>

<file path=customXml/itemProps1.xml><?xml version="1.0" encoding="utf-8"?>
<ds:datastoreItem xmlns:ds="http://schemas.openxmlformats.org/officeDocument/2006/customXml" ds:itemID="{A6E0EA55-21A4-49BB-BA67-AD039D397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5c059-4cd0-473d-9231-f62d903aa1b4"/>
    <ds:schemaRef ds:uri="b72b128a-512f-4953-89ec-c94a8951f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2BE29-0AD7-48A4-9F3E-A15D1D2E0EF5}">
  <ds:schemaRefs>
    <ds:schemaRef ds:uri="http://schemas.microsoft.com/sharepoint/v3/contenttype/forms"/>
  </ds:schemaRefs>
</ds:datastoreItem>
</file>

<file path=customXml/itemProps3.xml><?xml version="1.0" encoding="utf-8"?>
<ds:datastoreItem xmlns:ds="http://schemas.openxmlformats.org/officeDocument/2006/customXml" ds:itemID="{C2C69FC6-FDB3-4CBF-8D68-2C0D8D983223}">
  <ds:schemaRefs>
    <ds:schemaRef ds:uri="http://schemas.microsoft.com/office/2006/metadata/properties"/>
    <ds:schemaRef ds:uri="http://schemas.microsoft.com/office/infopath/2007/PartnerControls"/>
    <ds:schemaRef ds:uri="4445c059-4cd0-473d-9231-f62d903aa1b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2137</Words>
  <Characters>12395</Characters>
  <Application>Microsoft Office Word</Application>
  <DocSecurity>0</DocSecurity>
  <Lines>103</Lines>
  <Paragraphs>29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Pomerants | Powerhouse</dc:creator>
  <cp:keywords/>
  <dc:description/>
  <cp:lastModifiedBy>Kirsti Mau</cp:lastModifiedBy>
  <cp:revision>6</cp:revision>
  <dcterms:created xsi:type="dcterms:W3CDTF">2026-09-03T07:10:00Z</dcterms:created>
  <dcterms:modified xsi:type="dcterms:W3CDTF">2026-09-03T07:15:00Z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0x010100C61F7375078D8C42A1A0CD3E9165050B</vt:lpwstr>
  </property>
</Properties>
</file>